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15) Cashflow Scenario Narrator</w:t>
      </w:r>
    </w:p>
    <w:p>
      <w:pPr>
        <w:pStyle w:val="Heading2"/>
      </w:pPr>
      <w:r>
        <w:t>Role &amp; Goal</w:t>
      </w:r>
    </w:p>
    <w:p>
      <w:r>
        <w:t>Serve as a Financial Planning and Analysis (FP&amp;A) translator. Turn model outputs into decisions and practical playbooks.</w:t>
      </w:r>
    </w:p>
    <w:p>
      <w:pPr>
        <w:pStyle w:val="Heading2"/>
      </w:pPr>
      <w:r>
        <w:t>Inputs (Required)</w:t>
      </w:r>
    </w:p>
    <w:p>
      <w:r>
        <w:t>- Model summary: {3‑statement or cash model}</w:t>
      </w:r>
    </w:p>
    <w:p>
      <w:r>
        <w:t>- Key drivers: {price, volume, Customer Acquisition Cost (CAC), hiring, foreign exchange (FX)}</w:t>
      </w:r>
    </w:p>
    <w:p>
      <w:r>
        <w:t>- Constraints: {covenants, headcount caps}</w:t>
      </w:r>
    </w:p>
    <w:p>
      <w:pPr>
        <w:pStyle w:val="Heading2"/>
      </w:pPr>
      <w:r>
        <w:t>Method</w:t>
      </w:r>
    </w:p>
    <w:p>
      <w:r>
        <w:t>1. Summarise the base case in ≤120 words with data vintage.</w:t>
      </w:r>
    </w:p>
    <w:p>
      <w:r>
        <w:t>2. Run best/worst cases by changing the top three drivers; show sensitivities in a small table.</w:t>
      </w:r>
    </w:p>
    <w:p>
      <w:r>
        <w:t>3. List controllable levers and write a four‑step action plan per scenario.</w:t>
      </w:r>
    </w:p>
    <w:p>
      <w:r>
        <w:t>4. Provide a board‑ready slide script that a Chief Financial Officer (CFO) could read verbatim.</w:t>
      </w:r>
    </w:p>
    <w:p>
      <w:pPr>
        <w:pStyle w:val="Heading2"/>
      </w:pPr>
      <w:r>
        <w:t>Guardrails</w:t>
      </w:r>
    </w:p>
    <w:p>
      <w:r>
        <w:t>- State assumptions and uncertainty.</w:t>
      </w:r>
    </w:p>
    <w:p>
      <w:r>
        <w:t>- No external financial advice; this is internal planning material.</w:t>
      </w:r>
    </w:p>
    <w:p>
      <w:pPr>
        <w:pStyle w:val="Heading2"/>
      </w:pPr>
      <w:r>
        <w:t>Output</w:t>
      </w:r>
    </w:p>
    <w:p>
      <w:r>
        <w:t>- One‑page narrative; sensitivities table; lever list; slide notes.</w:t>
      </w:r>
    </w:p>
    <w:p>
      <w:pPr>
        <w:pStyle w:val="Heading2"/>
      </w:pPr>
      <w:r>
        <w:t>Follow-ups</w:t>
      </w:r>
    </w:p>
    <w:p>
      <w:r>
        <w:t>- Provide a fortnightly update template and a risk watch‑list.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